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2017-000052 vom 25. Januar 2017</w:t>
      </w:r>
    </w:p>
    <w:p>
      <w:r>
        <w:t>Ag Regierungsrat, 2017-01-25, DE</w:t>
      </w:r>
    </w:p>
    <w:p>
      <w:r>
        <w:rPr>
          <w:b/>
        </w:rPr>
        <w:t xml:space="preserve">Quelle: </w:t>
      </w:r>
      <w:r>
        <w:t>https://mcp.opencaselaw.ch/entscheid/ag_regierungsrat_RRB Nr. 2017-000052</w:t>
      </w:r>
    </w:p>
    <w:p>
      <w:r>
        <w:t>FR: AG_REGIERUNGSRAT RRB Nr. 2017-000052 du 25 janvier 2017</w:t>
      </w:r>
    </w:p>
    <w:p>
      <w:r>
        <w:t>IT: AG_REGIERUNGSRAT RRB Nr. 2017-000052 del 25 gennaio 2017</w:t>
      </w:r>
    </w:p>
    <w:p>
      <w:pPr>
        <w:pStyle w:val="Heading2"/>
      </w:pPr>
      <w:r>
        <w:t>Regeste</w:t>
      </w:r>
    </w:p>
    <w:p>
      <w:r>
        <w:t>§ 42 Abs. 1 lit. a VRPG, § 4 Abs. 2 BauG und § 60 Abs. 2 BauV Die Beschwerdeberechtigung in Bausachen setzt voraus, dass sich die betreffende Person mittels einer formrichtige Einwendung am erstinstanzlichen Verfahren beteiligt hat; die im Einwendungsverfahren gestellte Anträge bestimmen den Streitgegenstand im Beschwerdeverfahren. An Laieneingaben sind jedoch keine allzu hohen Anforderungen zu stellen.</w:t>
      </w:r>
    </w:p>
    <w:p>
      <w:pPr>
        <w:pStyle w:val="Heading2"/>
      </w:pPr>
      <w:r>
        <w:t>Volltext</w:t>
      </w:r>
    </w:p>
    <w:p>
      <w:r>
        <w:t>90 § 42 Abs. 1 lit. a VRPG, § 4 Abs. 2 BauG und § 60 Abs. 2 BauV Die Beschwerdeberechtigung in Bausachen setzt voraus, dass sich die be treffende Person mittels einer formrichtige Einwendung am erstinstanz lichen Verfahren beteiligt hat; die im Einwendungsverfahren gestellte An träge bestimmen den Streitgegenstand im Beschwerdeverfahren. An Laieneingaben sind jedoch keine allzu hohen Anforderungen zu stellen. Aus dem Entscheid des Regierungsrats vom 25. Januar 2017 i.S. M.B. ge gen den Entscheid des Departements Bau, Verkehr und Umwelt (Abteilung für Baubewilligungen)/Gemeinderats W. (RRB Nr. 2017 000052) Aus den Erwägungen 1. 1.1 Im vorliegenden Verfahren stellt sich vorab die Frage der Be schwerdelegitimation: Die Beschwerdegegner R. und C.S. bestreiten die Beschwerdeberechtigung von M. B. (nachstehend: Beschwerde führerin) und machen geltend, die Beschwerdeführerin habe sich innerhalb der Auflagefrist nicht formrichtig am erstinstanzlichen Verfahren beteiligt, weil ihre Einwendung vom 24. Juni 2015 – trotz vermutungsweisem Hinweis auf die Formerfordernisse einer Einwendung in der Baugesuchspublikation – keinen Antrag enthalten habe; der Gemeinderat W. hätte daher auf die Einwendung gar nicht eintreten dürfen und die Berechtigung zur anschliessenden Be schwerdeführung sei verwirkt worden. Selbst wenn man aber zu Gunsten der Beschwerdeführerin von einem zumindest sinngemäss gestellten Antrag im Einwendungsverfahren ausgehen wolle, betreffe dieser ausschliesslich den Gewässerabstand; alle übrigen Punkte habe die Beschwerdeführerin verspätet – lange nach Ablauf der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